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274228">
        <w:rPr>
          <w:b/>
        </w:rPr>
        <w:t xml:space="preserve"> </w:t>
      </w:r>
      <w:r w:rsidR="00F651E1" w:rsidRPr="009D61E9">
        <w:rPr>
          <w:b/>
        </w:rPr>
        <w:t xml:space="preserve">ДЛЯ </w:t>
      </w:r>
      <w:r w:rsidR="00AC2747">
        <w:rPr>
          <w:b/>
        </w:rPr>
        <w:t>ПАНОВ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9430F4">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430F4">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9430F4">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9430F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9430F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AA0CBD">
          <w:rPr>
            <w:noProof/>
            <w:webHidden/>
          </w:rPr>
          <w:t>3</w:t>
        </w:r>
        <w:r>
          <w:rPr>
            <w:noProof/>
            <w:webHidden/>
          </w:rPr>
          <w:fldChar w:fldCharType="end"/>
        </w:r>
      </w:hyperlink>
    </w:p>
    <w:p w:rsidR="004D53E7" w:rsidRDefault="009430F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AA0CBD">
          <w:rPr>
            <w:noProof/>
            <w:webHidden/>
          </w:rPr>
          <w:t>4</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AA0CBD">
          <w:rPr>
            <w:noProof/>
            <w:webHidden/>
          </w:rPr>
          <w:t>4</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AA0CBD">
          <w:rPr>
            <w:noProof/>
            <w:webHidden/>
          </w:rPr>
          <w:t>6</w:t>
        </w:r>
        <w:r>
          <w:rPr>
            <w:noProof/>
            <w:webHidden/>
          </w:rPr>
          <w:fldChar w:fldCharType="end"/>
        </w:r>
      </w:hyperlink>
    </w:p>
    <w:p w:rsidR="004D53E7" w:rsidRDefault="009430F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9430F4">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AA0CBD">
          <w:rPr>
            <w:noProof/>
            <w:webHidden/>
          </w:rPr>
          <w:t>7</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AA0CBD">
          <w:rPr>
            <w:noProof/>
            <w:webHidden/>
          </w:rPr>
          <w:t>9</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9430F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AA0CBD">
          <w:rPr>
            <w:noProof/>
            <w:webHidden/>
          </w:rPr>
          <w:t>12</w:t>
        </w:r>
        <w:r>
          <w:rPr>
            <w:noProof/>
            <w:webHidden/>
          </w:rPr>
          <w:fldChar w:fldCharType="end"/>
        </w:r>
      </w:hyperlink>
    </w:p>
    <w:p w:rsidR="004D53E7" w:rsidRDefault="009430F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AA0CBD">
          <w:rPr>
            <w:noProof/>
            <w:webHidden/>
          </w:rPr>
          <w:t>13</w:t>
        </w:r>
        <w:r>
          <w:rPr>
            <w:noProof/>
            <w:webHidden/>
          </w:rPr>
          <w:fldChar w:fldCharType="end"/>
        </w:r>
      </w:hyperlink>
    </w:p>
    <w:p w:rsidR="004D53E7" w:rsidRDefault="009430F4">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AA0CBD">
          <w:rPr>
            <w:noProof/>
            <w:webHidden/>
          </w:rPr>
          <w:t>15</w:t>
        </w:r>
        <w:r>
          <w:rPr>
            <w:noProof/>
            <w:webHidden/>
          </w:rPr>
          <w:fldChar w:fldCharType="end"/>
        </w:r>
      </w:hyperlink>
    </w:p>
    <w:p w:rsidR="00B01FDB" w:rsidRPr="009D61E9" w:rsidRDefault="009430F4"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9430F4" w:rsidRPr="00FB10F3">
        <w:rPr>
          <w:noProof/>
          <w:szCs w:val="22"/>
        </w:rPr>
        <w:fldChar w:fldCharType="begin"/>
      </w:r>
      <w:r w:rsidR="00B65462" w:rsidRPr="00FB10F3">
        <w:rPr>
          <w:noProof/>
          <w:szCs w:val="22"/>
        </w:rPr>
        <w:instrText xml:space="preserve"> SEQ Таблица \* ARABIC </w:instrText>
      </w:r>
      <w:r w:rsidR="009430F4" w:rsidRPr="00FB10F3">
        <w:rPr>
          <w:noProof/>
          <w:szCs w:val="22"/>
        </w:rPr>
        <w:fldChar w:fldCharType="separate"/>
      </w:r>
      <w:r w:rsidR="00C067B0">
        <w:rPr>
          <w:noProof/>
          <w:szCs w:val="22"/>
        </w:rPr>
        <w:t>1</w:t>
      </w:r>
      <w:r w:rsidR="009430F4"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9430F4"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430F4"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9430F4"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9430F4"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430F4"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9430F4"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9430F4"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430F4"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9430F4"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AC2747" w:rsidRDefault="00AC2747" w:rsidP="00AA0CBD">
      <w:pPr>
        <w:pStyle w:val="aff2"/>
        <w:autoSpaceDE w:val="0"/>
        <w:autoSpaceDN w:val="0"/>
        <w:adjustRightInd w:val="0"/>
        <w:ind w:left="432" w:firstLine="0"/>
      </w:pPr>
      <w:r w:rsidRPr="00AC2747">
        <w:t>Пановское сельское поселение расположено в северо-западной части Крутинского муниципального района.</w:t>
      </w:r>
      <w:r>
        <w:t xml:space="preserve"> На территории Пановского сельского поселения расположены четыре населенных пункта – с.Паново, д.Козулино, д.Камчатка, д.Красный Яр.</w:t>
      </w:r>
    </w:p>
    <w:p w:rsidR="00AC2747" w:rsidRPr="00AC2747" w:rsidRDefault="00AC2747" w:rsidP="00AC2747">
      <w:pPr>
        <w:pStyle w:val="aff2"/>
        <w:autoSpaceDE w:val="0"/>
        <w:autoSpaceDN w:val="0"/>
        <w:adjustRightInd w:val="0"/>
        <w:ind w:left="432" w:firstLine="0"/>
      </w:pPr>
      <w:r>
        <w:t>С.Паново является административным центром Пановского сельского поселения.</w:t>
      </w:r>
    </w:p>
    <w:p w:rsidR="00AC2747" w:rsidRPr="00274228" w:rsidRDefault="00AC2747" w:rsidP="00AC2747">
      <w:pPr>
        <w:pStyle w:val="aff2"/>
        <w:autoSpaceDE w:val="0"/>
        <w:autoSpaceDN w:val="0"/>
        <w:adjustRightInd w:val="0"/>
        <w:ind w:left="432" w:firstLine="0"/>
        <w:rPr>
          <w:b/>
        </w:rPr>
      </w:pPr>
      <w:r w:rsidRPr="00274228">
        <w:rPr>
          <w:b/>
        </w:rPr>
        <w:t>По смежеству с Толоконцевским сельским поселением:</w:t>
      </w:r>
    </w:p>
    <w:p w:rsidR="00AC2747" w:rsidRPr="00AC2747" w:rsidRDefault="00AC2747" w:rsidP="00AC2747">
      <w:pPr>
        <w:pStyle w:val="aff2"/>
        <w:autoSpaceDE w:val="0"/>
        <w:autoSpaceDN w:val="0"/>
        <w:adjustRightInd w:val="0"/>
        <w:spacing w:before="220"/>
        <w:ind w:left="432" w:firstLine="0"/>
      </w:pPr>
      <w:r w:rsidRPr="00AC2747">
        <w:t>от т. 28 (пересечение границ Тюменской области, Пановского и Толоконцевского сельских поселений Крутинского муниципального района Омской области) граница проходит в юго-восточном направлении 2,5 км по ур. Ировское; далее в юго-западном направлении 1,7 км; затем в юго-восточном направлении 1,9 км; далее в северо-восточном направлении 2,3 км; далее граница проходит в юго-восточном направлении 1,4 км; далее в западном направлении 0,3 км; далее в юго-восточном направлении 1,3 км; далее в юго-восточном направлении 0,6 км; далее в северо-восточном направлении протяженностью 4,3 км; далее в юго-восточном направлении, пересекая реку Хмелевка, 0,9 км; далее по лесу 0,8 км; далее по реке Хмелевка 0,4 км; далее в юго-западном направлении 2,6 км; далее в юго-восточном направлении на протяжении 1,5 км до пересечения с р. Ир; далее в общем восточном направлении 4,8 км до пересечения с автомобильной дорогой Паново - Толоконцево; далее граница проходит в северо-восточном направлении 2,4 км; далее в юго-восточном направлении 7,1 км; далее в северо-восточном направлении 2,0 км; далее в юго-восточном направлении и проходит расстояние 2,4 км до т. 53 (пересечение границ Пановского, Шипуновского и Толоконцевского сельских поселений Крутинского муниципального района).</w:t>
      </w:r>
    </w:p>
    <w:p w:rsidR="00AC2747" w:rsidRPr="00274228" w:rsidRDefault="00AC2747" w:rsidP="00AC2747">
      <w:pPr>
        <w:pStyle w:val="aff2"/>
        <w:autoSpaceDE w:val="0"/>
        <w:autoSpaceDN w:val="0"/>
        <w:adjustRightInd w:val="0"/>
        <w:ind w:left="432" w:firstLine="0"/>
        <w:rPr>
          <w:b/>
        </w:rPr>
      </w:pPr>
      <w:r w:rsidRPr="00274228">
        <w:rPr>
          <w:b/>
        </w:rPr>
        <w:t>По смежеству с Шипуновским сельским поселением:</w:t>
      </w:r>
    </w:p>
    <w:p w:rsidR="00AC2747" w:rsidRPr="00AC2747" w:rsidRDefault="00AC2747" w:rsidP="00AC2747">
      <w:pPr>
        <w:pStyle w:val="aff2"/>
        <w:autoSpaceDE w:val="0"/>
        <w:autoSpaceDN w:val="0"/>
        <w:adjustRightInd w:val="0"/>
        <w:spacing w:before="220"/>
        <w:ind w:left="432" w:firstLine="0"/>
      </w:pPr>
      <w:r w:rsidRPr="00AC2747">
        <w:t xml:space="preserve">от т. 53 (пересечение границ Пановского, Шипуновского и Толоконцевского сельских поселений Крутинского муниципального района) граница проходит в юго-восточном направлении 0,9 км; далее в общем юго-западном направлении протяженностью 12,3 </w:t>
      </w:r>
      <w:r w:rsidRPr="00AC2747">
        <w:lastRenderedPageBreak/>
        <w:t>км до т. 5/6(23/24) (пересечение границ Тюменской области (участок Абатского района) и Пановского, Шипуновского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Шипуновским сельским поселением:</w:t>
      </w:r>
    </w:p>
    <w:p w:rsidR="00AC2747" w:rsidRPr="00AC2747" w:rsidRDefault="00AC2747" w:rsidP="00AC2747">
      <w:pPr>
        <w:pStyle w:val="aff2"/>
        <w:autoSpaceDE w:val="0"/>
        <w:autoSpaceDN w:val="0"/>
        <w:adjustRightInd w:val="0"/>
        <w:spacing w:before="220" w:after="100" w:afterAutospacing="1"/>
        <w:ind w:left="432" w:firstLine="0"/>
      </w:pPr>
      <w:r w:rsidRPr="00AC2747">
        <w:t>от т. 5'/6'(23'/24') (пересечение границ Тюменской области Пановского, Шипуновского сельских поселений Крутинского муниципального района Омской области) граница проходит по ур. Ракитовское в южном направлении 3,4 км; далее в юго-восточном направлении 2,3 км до т. 72 (пересечение границ Зиминского, Пановского и Шипуновского сельских поселений Крутинского муниципального района).</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Зиминским сельским поселением:</w:t>
      </w:r>
    </w:p>
    <w:p w:rsidR="00AC2747" w:rsidRPr="00AC2747" w:rsidRDefault="00AC2747" w:rsidP="00AC2747">
      <w:pPr>
        <w:pStyle w:val="aff2"/>
        <w:autoSpaceDE w:val="0"/>
        <w:autoSpaceDN w:val="0"/>
        <w:adjustRightInd w:val="0"/>
        <w:spacing w:before="220" w:after="100" w:afterAutospacing="1"/>
        <w:ind w:left="432" w:firstLine="0"/>
      </w:pPr>
      <w:r w:rsidRPr="00AC2747">
        <w:t>от т. 72 (пересечение границ Зиминского, Пановского и Шипуновского сельских поселений Крутинского муниципального района) граница проходит в западном направлении протяженностью 8,5 км; далее на север протяженностью 1,5 км; далее на запад 1,8 км; далее в северном направлении протяженностью 0,9 км; далее на северо-запад и проходит в общем северо-западном направлении, пересекая автомобильную дорогу Ольгино - Паново (до деревни Стахановка 1,5 км), протяженностью 7,3 км; далее в юго-западном направлении на расстоянии 1,9 км до т. 63 (пересечение границ Тюменской области, Зиминского и Пановского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63 (пересечение границ Тюменской области, Зиминского и Пановского сельских поселений Крутинского муниципального района Омской области) граница проходит в северо-западном направлении протяженностью 1,4 км; далее в западном направлении 0,7 км; далее в северо-западном направлении 4,6 км; далее в северо-восточном направлении 2,7 км; далее в западном направлении, пересекая р. Кудриха (Резенка), протяженностью 3,3 км; далее в северо-западном направлении 8,0 км; далее в юго-западном направлении 3,3 км; далее в северо-западном направлении 4,3 км; далее в северо-восточном направлении протяженностью 10,6 км до т. 28 (пересечение границ Тюменской области, Пановского и Толоконцевского сельских поселений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lastRenderedPageBreak/>
        <w:t>от т. 1/2(19/20) (пересечение границ Тюменской области и Пановского сельского поселения Крутинского муниципального района Омской области) граница проходит в западном направлении по берегу оз. Сугатское протяженностью 1,7 км; далее в северо-западном направлении 3,9 км по р. Протока; далее в юго-восточном направлении по р. Протока 2,0 км; далее вдоль р. Ир протяженностью 1,4 км; далее в северо-восточном направлении по р. Протока протяженностью 2,0 км до р. Ир; далее в северо-восточном направлении вдоль р. Ир протяженностью 0,6 км; далее в юго-восточном направлении по лесу и болоту протяженностью 2,4 км; далее в юго-западном направлении на протяжении 4,2 км до т. 1/2(19/20) (пересечение границ Тюменской области и Пановского сельского поселения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3/4(21/22) (пересечение границ Тюменской области и Пановского сельского поселения Крутинского муниципального района Омской области) граница проходит в общем юго-восточном направлении 5,1 км по р. Степаниха; далее в юго-западном направлении протяженностью 1,5 км; далее в северо-западном направлении протяженностью 5,7 км; далее в северо-восточном направлении протяженностью 1,0 км до т. 3/4(21/22) (пересечение границ Тюменской области и Пановского сельского поселения Крутинского муниципального района Омской области).</w:t>
      </w:r>
    </w:p>
    <w:p w:rsidR="00AC2747" w:rsidRPr="00274228" w:rsidRDefault="00AC2747" w:rsidP="00AC2747">
      <w:pPr>
        <w:pStyle w:val="aff2"/>
        <w:autoSpaceDE w:val="0"/>
        <w:autoSpaceDN w:val="0"/>
        <w:adjustRightInd w:val="0"/>
        <w:spacing w:after="100" w:afterAutospacing="1"/>
        <w:ind w:left="432" w:firstLine="0"/>
        <w:rPr>
          <w:b/>
        </w:rPr>
      </w:pPr>
      <w:r w:rsidRPr="00274228">
        <w:rPr>
          <w:b/>
        </w:rPr>
        <w:t>По смежеству с Тюменской областью:</w:t>
      </w:r>
    </w:p>
    <w:p w:rsidR="00AC2747" w:rsidRPr="00AC2747" w:rsidRDefault="00AC2747" w:rsidP="00AC2747">
      <w:pPr>
        <w:pStyle w:val="aff2"/>
        <w:autoSpaceDE w:val="0"/>
        <w:autoSpaceDN w:val="0"/>
        <w:adjustRightInd w:val="0"/>
        <w:spacing w:before="220" w:after="100" w:afterAutospacing="1"/>
        <w:ind w:left="432" w:firstLine="0"/>
      </w:pPr>
      <w:r w:rsidRPr="00AC2747">
        <w:t>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в западном направлении на протяжении 4,6 км; далее в северо-западном направлении на протяжении 1,7 км; далее в восточном направлении на протяжении 4,0 км до т. 5'/6'(23'/24') (пересечение границ Тюменской области, Пановского и Шипуновского сельских поселений Крутинского муниципального района Омской области).</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AA0CBD">
        <w:t>Панов</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AA0CBD" w:rsidRDefault="00AA0CBD" w:rsidP="00AA0CBD">
      <w:pPr>
        <w:spacing w:line="360" w:lineRule="auto"/>
        <w:ind w:firstLine="567"/>
        <w:jc w:val="both"/>
        <w:rPr>
          <w:spacing w:val="-6"/>
        </w:rPr>
      </w:pPr>
      <w:r w:rsidRPr="008E4729">
        <w:rPr>
          <w:spacing w:val="-6"/>
        </w:rPr>
        <w:lastRenderedPageBreak/>
        <w:t>Климат Пановского сельского поселения Крутинского муниципального района Омской области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AA0CBD" w:rsidRDefault="00AA0CBD" w:rsidP="00AA0CBD">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Pr>
          <w:spacing w:val="-6"/>
        </w:rPr>
        <w:t xml:space="preserve"> </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AA0CBD" w:rsidRPr="008E4729" w:rsidRDefault="00AA0CBD" w:rsidP="00AA0CBD">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AA0CBD" w:rsidRDefault="00AA0CBD" w:rsidP="00AA0CBD">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AA0CBD" w:rsidRDefault="00AA0CBD" w:rsidP="00AA0CBD">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AA0CBD" w:rsidRPr="00EB0490" w:rsidRDefault="00AA0CBD" w:rsidP="00AA0CBD">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232E5A">
      <w:pPr>
        <w:pStyle w:val="aff2"/>
        <w:ind w:left="0" w:firstLine="0"/>
        <w:rPr>
          <w:b/>
        </w:rPr>
      </w:pPr>
      <w:r w:rsidRPr="00232E5A">
        <w:rPr>
          <w:b/>
        </w:rPr>
        <w:t xml:space="preserve">Гидрография </w:t>
      </w:r>
    </w:p>
    <w:p w:rsidR="00AA0CBD" w:rsidRDefault="00AA0CBD" w:rsidP="00AA0CBD">
      <w:pPr>
        <w:spacing w:line="360" w:lineRule="auto"/>
        <w:ind w:firstLine="709"/>
        <w:jc w:val="both"/>
        <w:rPr>
          <w:spacing w:val="-6"/>
        </w:rPr>
      </w:pPr>
      <w:r w:rsidRPr="00AE5033">
        <w:rPr>
          <w:spacing w:val="-6"/>
        </w:rPr>
        <w:t>Гидрография Пановского сельского поселения представлена рекой Ир, несудоходная река в северо-восточной части </w:t>
      </w:r>
      <w:hyperlink r:id="rId15" w:tooltip="Абатский район" w:history="1">
        <w:r w:rsidRPr="00AE5033">
          <w:rPr>
            <w:spacing w:val="-6"/>
          </w:rPr>
          <w:t>Абатского района</w:t>
        </w:r>
      </w:hyperlink>
      <w:r w:rsidRPr="00AE5033">
        <w:rPr>
          <w:spacing w:val="-6"/>
        </w:rPr>
        <w:t> </w:t>
      </w:r>
      <w:hyperlink r:id="rId16" w:tooltip="Тюменская область" w:history="1">
        <w:r w:rsidRPr="00AE5033">
          <w:rPr>
            <w:spacing w:val="-6"/>
          </w:rPr>
          <w:t>Тюменской области</w:t>
        </w:r>
      </w:hyperlink>
      <w:r w:rsidRPr="00AE5033">
        <w:rPr>
          <w:spacing w:val="-6"/>
        </w:rPr>
        <w:t> (только нижнее течение) и в северо-западной части </w:t>
      </w:r>
      <w:hyperlink r:id="rId17" w:tooltip="Крутинский район" w:history="1">
        <w:r w:rsidRPr="00AE5033">
          <w:rPr>
            <w:spacing w:val="-6"/>
          </w:rPr>
          <w:t>Крутинского района</w:t>
        </w:r>
      </w:hyperlink>
      <w:r w:rsidRPr="00AE5033">
        <w:rPr>
          <w:spacing w:val="-6"/>
        </w:rPr>
        <w:t> </w:t>
      </w:r>
      <w:hyperlink r:id="rId18" w:tooltip="Культура Омского района Омской области" w:history="1">
        <w:r w:rsidRPr="00AE5033">
          <w:rPr>
            <w:spacing w:val="-6"/>
          </w:rPr>
          <w:t>Омской области</w:t>
        </w:r>
      </w:hyperlink>
      <w:r w:rsidRPr="00AE5033">
        <w:rPr>
          <w:spacing w:val="-6"/>
        </w:rPr>
        <w:t> (верхнее течение). Длина реки 86 км, площадь водосбора 1020 км². Начало берёт недалеко от деревни </w:t>
      </w:r>
      <w:hyperlink r:id="rId19" w:tooltip="Моторово (Омская область)" w:history="1">
        <w:r w:rsidRPr="00AE5033">
          <w:rPr>
            <w:spacing w:val="-6"/>
          </w:rPr>
          <w:t>Моторово</w:t>
        </w:r>
      </w:hyperlink>
      <w:r w:rsidRPr="00AE5033">
        <w:rPr>
          <w:spacing w:val="-6"/>
        </w:rPr>
        <w:t>. Впадает в реку </w:t>
      </w:r>
      <w:hyperlink r:id="rId20" w:tooltip="Ишим" w:history="1">
        <w:r w:rsidRPr="00AE5033">
          <w:rPr>
            <w:spacing w:val="-6"/>
          </w:rPr>
          <w:t>Ишим</w:t>
        </w:r>
      </w:hyperlink>
      <w:r w:rsidRPr="00AE5033">
        <w:rPr>
          <w:spacing w:val="-6"/>
        </w:rPr>
        <w:t> восточнее деревни </w:t>
      </w:r>
      <w:hyperlink r:id="rId21" w:tooltip="Спирина (деревня)" w:history="1">
        <w:r w:rsidRPr="00AE5033">
          <w:rPr>
            <w:spacing w:val="-6"/>
          </w:rPr>
          <w:t>Спирина</w:t>
        </w:r>
      </w:hyperlink>
      <w:r w:rsidRPr="00AE5033">
        <w:rPr>
          <w:spacing w:val="-6"/>
        </w:rPr>
        <w:t>.</w:t>
      </w:r>
    </w:p>
    <w:p w:rsidR="00AA0CBD" w:rsidRDefault="00AA0CBD" w:rsidP="00AA0CBD">
      <w:pPr>
        <w:spacing w:line="360" w:lineRule="auto"/>
        <w:ind w:firstLine="709"/>
        <w:jc w:val="both"/>
        <w:rPr>
          <w:spacing w:val="-6"/>
        </w:rPr>
      </w:pPr>
      <w:r w:rsidRPr="0043188C">
        <w:rPr>
          <w:spacing w:val="-6"/>
        </w:rPr>
        <w:t>По данным </w:t>
      </w:r>
      <w:hyperlink r:id="rId22" w:tooltip="Государственный водный реестр" w:history="1">
        <w:r w:rsidRPr="0043188C">
          <w:rPr>
            <w:spacing w:val="-6"/>
          </w:rPr>
          <w:t>государственного водного реестра России</w:t>
        </w:r>
      </w:hyperlink>
      <w:r w:rsidRPr="0043188C">
        <w:rPr>
          <w:spacing w:val="-6"/>
        </w:rPr>
        <w:t> относится к </w:t>
      </w:r>
      <w:hyperlink r:id="rId23" w:tooltip="Иртышский бассейновый округ" w:history="1">
        <w:r w:rsidRPr="0043188C">
          <w:rPr>
            <w:spacing w:val="-6"/>
          </w:rPr>
          <w:t>Иртышскому бассейновому округу</w:t>
        </w:r>
      </w:hyperlink>
      <w:r w:rsidRPr="0043188C">
        <w:rPr>
          <w:spacing w:val="-6"/>
        </w:rPr>
        <w:t>, </w:t>
      </w:r>
      <w:hyperlink r:id="rId24" w:tooltip="Водохозяйственный участок" w:history="1">
        <w:r w:rsidRPr="0043188C">
          <w:rPr>
            <w:spacing w:val="-6"/>
          </w:rPr>
          <w:t>водохозяйственный участок</w:t>
        </w:r>
      </w:hyperlink>
      <w:r w:rsidRPr="0043188C">
        <w:rPr>
          <w:spacing w:val="-6"/>
        </w:rPr>
        <w:t> реки — </w:t>
      </w:r>
      <w:hyperlink r:id="rId25" w:tooltip="Ишим" w:history="1">
        <w:r w:rsidRPr="0043188C">
          <w:rPr>
            <w:spacing w:val="-6"/>
          </w:rPr>
          <w:t>Ишим</w:t>
        </w:r>
      </w:hyperlink>
      <w:r w:rsidRPr="0043188C">
        <w:rPr>
          <w:spacing w:val="-6"/>
        </w:rPr>
        <w:t> от границы РФ с Респ. Казахстан до устья без оз. </w:t>
      </w:r>
      <w:hyperlink r:id="rId26" w:tooltip="Большой Уват" w:history="1">
        <w:r w:rsidRPr="0043188C">
          <w:rPr>
            <w:spacing w:val="-6"/>
          </w:rPr>
          <w:t>Большой Уват</w:t>
        </w:r>
      </w:hyperlink>
      <w:r w:rsidRPr="0043188C">
        <w:rPr>
          <w:spacing w:val="-6"/>
        </w:rPr>
        <w:t> до г/у Большой Уват, речной подбассейн реки — Ишим (российская часть бассейна). Речной бассейн реки — </w:t>
      </w:r>
      <w:hyperlink r:id="rId27" w:tooltip="Иртыш" w:history="1">
        <w:r w:rsidRPr="0043188C">
          <w:rPr>
            <w:spacing w:val="-6"/>
          </w:rPr>
          <w:t>Иртыш</w:t>
        </w:r>
      </w:hyperlink>
      <w:r>
        <w:rPr>
          <w:spacing w:val="-6"/>
        </w:rPr>
        <w:t xml:space="preserve">. </w:t>
      </w:r>
    </w:p>
    <w:p w:rsidR="00AA0CBD" w:rsidRDefault="00AA0CBD" w:rsidP="00AA0CBD">
      <w:pPr>
        <w:spacing w:line="360" w:lineRule="auto"/>
        <w:ind w:firstLine="709"/>
        <w:jc w:val="both"/>
        <w:rPr>
          <w:spacing w:val="-6"/>
        </w:rPr>
      </w:pPr>
      <w:r>
        <w:rPr>
          <w:spacing w:val="-6"/>
        </w:rPr>
        <w:t xml:space="preserve">Село Паново располагается </w:t>
      </w:r>
      <w:r w:rsidRPr="00372B68">
        <w:rPr>
          <w:spacing w:val="-6"/>
        </w:rPr>
        <w:t>на левом берегу реки </w:t>
      </w:r>
      <w:hyperlink r:id="rId28" w:tooltip="Ир (приток Ишима)" w:history="1">
        <w:r w:rsidRPr="00372B68">
          <w:rPr>
            <w:spacing w:val="-6"/>
          </w:rPr>
          <w:t>Ир</w:t>
        </w:r>
      </w:hyperlink>
      <w:r>
        <w:rPr>
          <w:spacing w:val="-6"/>
        </w:rPr>
        <w:t> </w:t>
      </w:r>
      <w:r w:rsidRPr="00372B68">
        <w:rPr>
          <w:spacing w:val="-6"/>
        </w:rPr>
        <w:t>при впадении реки </w:t>
      </w:r>
      <w:hyperlink r:id="rId29" w:tooltip="Епишиха (страница отсутствует)" w:history="1">
        <w:r w:rsidRPr="00372B68">
          <w:rPr>
            <w:spacing w:val="-6"/>
          </w:rPr>
          <w:t>Епишиха</w:t>
        </w:r>
      </w:hyperlink>
      <w:r>
        <w:rPr>
          <w:spacing w:val="-6"/>
        </w:rPr>
        <w:t>.</w:t>
      </w:r>
    </w:p>
    <w:p w:rsidR="00AA0CBD" w:rsidRPr="00AE5033" w:rsidRDefault="00AA0CBD" w:rsidP="00AA0CBD">
      <w:pPr>
        <w:spacing w:line="360" w:lineRule="auto"/>
        <w:ind w:firstLine="709"/>
        <w:jc w:val="both"/>
        <w:rPr>
          <w:spacing w:val="-6"/>
        </w:rPr>
      </w:pPr>
      <w:r>
        <w:rPr>
          <w:spacing w:val="-6"/>
        </w:rPr>
        <w:t>Также на территории Пановского сельского поселения располагаются водоемы, пруды, 10% территории занято болотами.</w:t>
      </w:r>
    </w:p>
    <w:p w:rsidR="00232E5A" w:rsidRPr="00232E5A" w:rsidRDefault="00232E5A" w:rsidP="00232E5A">
      <w:pPr>
        <w:pStyle w:val="aff2"/>
        <w:ind w:left="0" w:firstLine="0"/>
        <w:rPr>
          <w:b/>
        </w:rPr>
      </w:pPr>
      <w:r w:rsidRPr="00232E5A">
        <w:rPr>
          <w:b/>
        </w:rPr>
        <w:t>Растительность</w:t>
      </w:r>
    </w:p>
    <w:p w:rsidR="00AA0CBD" w:rsidRPr="00372B68" w:rsidRDefault="00AA0CBD" w:rsidP="00AA0CBD">
      <w:pPr>
        <w:spacing w:line="360" w:lineRule="auto"/>
        <w:ind w:firstLine="709"/>
        <w:jc w:val="both"/>
        <w:rPr>
          <w:spacing w:val="-6"/>
        </w:rPr>
      </w:pPr>
      <w:r w:rsidRPr="00372B68">
        <w:rPr>
          <w:spacing w:val="-6"/>
        </w:rPr>
        <w:lastRenderedPageBreak/>
        <w:t xml:space="preserve">Пановское 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AA0CBD" w:rsidRPr="00372B68" w:rsidRDefault="00AA0CBD" w:rsidP="00AA0CBD">
      <w:pPr>
        <w:spacing w:line="360" w:lineRule="auto"/>
        <w:ind w:firstLine="709"/>
        <w:jc w:val="both"/>
        <w:rPr>
          <w:spacing w:val="-6"/>
        </w:rPr>
      </w:pPr>
      <w:r w:rsidRPr="00372B68">
        <w:rPr>
          <w:spacing w:val="-6"/>
        </w:rPr>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AA0CBD" w:rsidRPr="00372B68" w:rsidRDefault="00AA0CBD" w:rsidP="00AA0CBD">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AA0CBD" w:rsidRPr="00372B68" w:rsidRDefault="00AA0CBD" w:rsidP="00AA0CBD">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AA0CBD" w:rsidRPr="00372B68" w:rsidRDefault="00AA0CBD" w:rsidP="00AA0CBD">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AA0CBD" w:rsidRDefault="00AA0CBD" w:rsidP="00AA0CBD">
      <w:pPr>
        <w:spacing w:line="360" w:lineRule="auto"/>
        <w:ind w:firstLine="709"/>
        <w:jc w:val="both"/>
        <w:rPr>
          <w:spacing w:val="-6"/>
        </w:rPr>
      </w:pPr>
      <w:r w:rsidRPr="00372B68">
        <w:rPr>
          <w:spacing w:val="-6"/>
        </w:rPr>
        <w:t>Согласно СП 131.13330.2018. Свод правил. Строительная климатология. Актуализированная редакция СНиП 23-01-99 Пановское сельское поселение относится к 1В климатическому району.</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w:t>
      </w:r>
      <w:r w:rsidRPr="00232E5A">
        <w:lastRenderedPageBreak/>
        <w:t xml:space="preserve">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AA0CBD">
        <w:t>Пановском</w:t>
      </w:r>
      <w:r w:rsidRPr="00E62CF1">
        <w:t xml:space="preserve"> сельском поселении проживает – 1</w:t>
      </w:r>
      <w:r w:rsidR="00AA0CBD">
        <w:t>016</w:t>
      </w:r>
      <w:r w:rsidRPr="00E62CF1">
        <w:t xml:space="preserve"> человека, б</w:t>
      </w:r>
      <w:r w:rsidR="00AE4C7C" w:rsidRPr="00E62CF1">
        <w:t>ольшая</w:t>
      </w:r>
      <w:r w:rsidR="00232E5A" w:rsidRPr="00E62CF1">
        <w:t xml:space="preserve"> часть населения проживает в с.</w:t>
      </w:r>
      <w:r w:rsidR="00AA0CBD">
        <w:t>Паново</w:t>
      </w:r>
      <w:r w:rsidR="00232E5A" w:rsidRPr="00E62CF1">
        <w:t xml:space="preserve"> – </w:t>
      </w:r>
      <w:r w:rsidR="00AA0CBD">
        <w:t>783</w:t>
      </w:r>
      <w:r w:rsidR="00232E5A" w:rsidRPr="00E62CF1">
        <w:t xml:space="preserve"> человек, в остальных </w:t>
      </w:r>
      <w:r w:rsidR="00004BF7" w:rsidRPr="00E62CF1">
        <w:t xml:space="preserve">семи  </w:t>
      </w:r>
      <w:r w:rsidR="00232E5A" w:rsidRPr="00E62CF1">
        <w:t>населенны</w:t>
      </w:r>
      <w:r w:rsidR="00232E5A">
        <w:t xml:space="preserve">х пунктах </w:t>
      </w:r>
      <w:r w:rsidR="00004BF7">
        <w:t xml:space="preserve">проживает – </w:t>
      </w:r>
      <w:r w:rsidR="00AA0CBD">
        <w:t>233</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30"/>
          <w:footerReference w:type="default" r:id="rId31"/>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E0D" w:rsidRDefault="00467E0D">
      <w:r>
        <w:separator/>
      </w:r>
    </w:p>
    <w:p w:rsidR="00467E0D" w:rsidRDefault="00467E0D"/>
  </w:endnote>
  <w:endnote w:type="continuationSeparator" w:id="1">
    <w:p w:rsidR="00467E0D" w:rsidRDefault="00467E0D">
      <w:r>
        <w:continuationSeparator/>
      </w:r>
    </w:p>
    <w:p w:rsidR="00467E0D" w:rsidRDefault="00467E0D"/>
  </w:endnote>
  <w:endnote w:type="continuationNotice" w:id="2">
    <w:p w:rsidR="00467E0D" w:rsidRDefault="00467E0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430F4">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430F4"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274228">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430F4"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274228">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E0D" w:rsidRDefault="00467E0D">
      <w:r>
        <w:separator/>
      </w:r>
    </w:p>
    <w:p w:rsidR="00467E0D" w:rsidRDefault="00467E0D"/>
  </w:footnote>
  <w:footnote w:type="continuationSeparator" w:id="1">
    <w:p w:rsidR="00467E0D" w:rsidRDefault="00467E0D">
      <w:r>
        <w:continuationSeparator/>
      </w:r>
    </w:p>
    <w:p w:rsidR="00467E0D" w:rsidRDefault="00467E0D"/>
  </w:footnote>
  <w:footnote w:type="continuationNotice" w:id="2">
    <w:p w:rsidR="00467E0D" w:rsidRDefault="00467E0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4386"/>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228"/>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E0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0F4"/>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A%D1%83%D0%BB%D1%8C%D1%82%D1%83%D1%80%D0%B0_%D0%9E%D0%BC%D1%81%D0%BA%D0%BE%D0%B3%D0%BE_%D1%80%D0%B0%D0%B9%D0%BE%D0%BD%D0%B0_%D0%9E%D0%BC%D1%81%D0%BA%D0%BE%D0%B9_%D0%BE%D0%B1%D0%BB%D0%B0%D1%81%D1%82%D0%B8" TargetMode="External"/><Relationship Id="rId26" Type="http://schemas.openxmlformats.org/officeDocument/2006/relationships/hyperlink" Target="https://ru.wikipedia.org/wiki/%D0%91%D0%BE%D0%BB%D1%8C%D1%88%D0%BE%D0%B9_%D0%A3%D0%B2%D0%B0%D1%82" TargetMode="External"/><Relationship Id="rId3" Type="http://schemas.openxmlformats.org/officeDocument/2006/relationships/customXml" Target="../customXml/item2.xml"/><Relationship Id="rId21" Type="http://schemas.openxmlformats.org/officeDocument/2006/relationships/hyperlink" Target="https://ru.wikipedia.org/wiki/%D0%A1%D0%BF%D0%B8%D1%80%D0%B8%D0%BD%D0%B0_(%D0%B4%D0%B5%D1%80%D0%B5%D0%B2%D0%BD%D1%8F)"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A%D1%80%D1%83%D1%82%D0%B8%D0%BD%D1%81%D0%BA%D0%B8%D0%B9_%D1%80%D0%B0%D0%B9%D0%BE%D0%BD" TargetMode="External"/><Relationship Id="rId25" Type="http://schemas.openxmlformats.org/officeDocument/2006/relationships/hyperlink" Target="https://ru.wikipedia.org/wiki/%D0%98%D1%88%D0%B8%D0%BC"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ru.wikipedia.org/wiki/%D0%A2%D1%8E%D0%BC%D0%B5%D0%BD%D1%81%D0%BA%D0%B0%D1%8F_%D0%BE%D0%B1%D0%BB%D0%B0%D1%81%D1%82%D1%8C" TargetMode="External"/><Relationship Id="rId20" Type="http://schemas.openxmlformats.org/officeDocument/2006/relationships/hyperlink" Target="https://ru.wikipedia.org/wiki/%D0%98%D1%88%D0%B8%D0%BC" TargetMode="External"/><Relationship Id="rId29" Type="http://schemas.openxmlformats.org/officeDocument/2006/relationships/hyperlink" Target="https://ru.wikipedia.org/w/index.php?title=%D0%95%D0%BF%D0%B8%D1%88%D0%B8%D1%85%D0%B0&amp;action=edit&amp;redlink=1"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ru.wikipedia.org/wiki/%D0%92%D0%BE%D0%B4%D0%BE%D1%85%D0%BE%D0%B7%D1%8F%D0%B9%D1%81%D1%82%D0%B2%D0%B5%D0%BD%D0%BD%D1%8B%D0%B9_%D1%83%D1%87%D0%B0%D1%81%D1%82%D0%BE%D0%BA" TargetMode="External"/><Relationship Id="rId32"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ru.wikipedia.org/wiki/%D0%90%D0%B1%D0%B0%D1%82%D1%81%D0%BA%D0%B8%D0%B9_%D1%80%D0%B0%D0%B9%D0%BE%D0%BD" TargetMode="External"/><Relationship Id="rId23" Type="http://schemas.openxmlformats.org/officeDocument/2006/relationships/hyperlink" Target="https://ru.wikipedia.org/wiki/%D0%98%D1%80%D1%82%D1%8B%D1%88%D1%81%D0%BA%D0%B8%D0%B9_%D0%B1%D0%B0%D1%81%D1%81%D0%B5%D0%B9%D0%BD%D0%BE%D0%B2%D1%8B%D0%B9_%D0%BE%D0%BA%D1%80%D1%83%D0%B3" TargetMode="External"/><Relationship Id="rId28" Type="http://schemas.openxmlformats.org/officeDocument/2006/relationships/hyperlink" Target="https://ru.wikipedia.org/wiki/%D0%98%D1%80_(%D0%BF%D1%80%D0%B8%D1%82%D0%BE%D0%BA_%D0%98%D1%88%D0%B8%D0%BC%D0%B0)" TargetMode="External"/><Relationship Id="rId10" Type="http://schemas.openxmlformats.org/officeDocument/2006/relationships/footnotes" Target="footnotes.xml"/><Relationship Id="rId19" Type="http://schemas.openxmlformats.org/officeDocument/2006/relationships/hyperlink" Target="https://ru.wikipedia.org/wiki/%D0%9C%D0%BE%D1%82%D0%BE%D1%80%D0%BE%D0%B2%D0%BE_(%D0%9E%D0%BC%D1%81%D0%BA%D0%B0%D1%8F_%D0%BE%D0%B1%D0%BB%D0%B0%D1%81%D1%82%D1%8C)" TargetMode="External"/><Relationship Id="rId31"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ru.wikipedia.org/wiki/%D0%93%D0%BE%D1%81%D1%83%D0%B4%D0%B0%D1%80%D1%81%D1%82%D0%B2%D0%B5%D0%BD%D0%BD%D1%8B%D0%B9_%D0%B2%D0%BE%D0%B4%D0%BD%D1%8B%D0%B9_%D1%80%D0%B5%D0%B5%D1%81%D1%82%D1%80" TargetMode="External"/><Relationship Id="rId27" Type="http://schemas.openxmlformats.org/officeDocument/2006/relationships/hyperlink" Target="https://ru.wikipedia.org/wiki/%D0%98%D1%80%D1%82%D1%8B%D1%88"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3770</TotalTime>
  <Pages>1</Pages>
  <Words>5343</Words>
  <Characters>30458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35730</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504</cp:revision>
  <cp:lastPrinted>2022-10-19T09:50:00Z</cp:lastPrinted>
  <dcterms:created xsi:type="dcterms:W3CDTF">2021-10-15T07:52:00Z</dcterms:created>
  <dcterms:modified xsi:type="dcterms:W3CDTF">2022-10-26T06:14:00Z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