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025A89">
        <w:t>1</w:t>
      </w:r>
      <w:r w:rsidR="00EF1EBF"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EF64E5">
        <w:t>2</w:t>
      </w:r>
      <w:r w:rsidR="00EF1EBF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EF1EBF">
        <w:t>267</w:t>
      </w:r>
      <w:r>
        <w:t xml:space="preserve">от </w:t>
      </w:r>
      <w:r w:rsidR="00025A89">
        <w:t>1</w:t>
      </w:r>
      <w:r w:rsidR="00EF1EBF">
        <w:t>9</w:t>
      </w:r>
      <w:r>
        <w:t>.12.20</w:t>
      </w:r>
      <w:r w:rsidR="00EF64E5">
        <w:t>2</w:t>
      </w:r>
      <w:r w:rsidR="00025A89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986920">
        <w:rPr>
          <w:rFonts w:ascii="Times New Roman" w:hAnsi="Times New Roman" w:cs="Times New Roman"/>
        </w:rPr>
        <w:t>6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="00D209EA">
        <w:rPr>
          <w:rFonts w:ascii="Times New Roman" w:hAnsi="Times New Roman" w:cs="Times New Roman"/>
          <w:sz w:val="24"/>
          <w:szCs w:val="24"/>
        </w:rPr>
        <w:t>Шипуновский</w:t>
      </w:r>
      <w:proofErr w:type="spellEnd"/>
      <w:r w:rsidR="008A372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1048E9">
        <w:rPr>
          <w:rFonts w:ascii="Times New Roman" w:hAnsi="Times New Roman" w:cs="Times New Roman"/>
          <w:sz w:val="24"/>
          <w:szCs w:val="24"/>
        </w:rPr>
        <w:t>2</w:t>
      </w:r>
      <w:r w:rsidR="00EF1EBF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EF1EBF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EF1EBF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EF1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5A89">
              <w:rPr>
                <w:sz w:val="20"/>
                <w:szCs w:val="20"/>
              </w:rPr>
              <w:t>2</w:t>
            </w:r>
            <w:r w:rsidR="00EF1EBF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EF1EBF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1EBF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EF1EBF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1EBF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EF1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048E9">
              <w:rPr>
                <w:sz w:val="20"/>
                <w:szCs w:val="20"/>
              </w:rPr>
              <w:t>2</w:t>
            </w:r>
            <w:r w:rsidR="00EF1EBF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EF1EBF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1EBF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EF1EBF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1EBF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EF1EBF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</w:tcPr>
          <w:p w:rsidR="000C0777" w:rsidRPr="00CB0B16" w:rsidRDefault="00EF1EBF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</w:tcPr>
          <w:p w:rsidR="000C0777" w:rsidRPr="00CB0B16" w:rsidRDefault="00EF1EBF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E91387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E91387" w:rsidP="00E913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1048E9" w:rsidRDefault="001048E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1048E9" w:rsidRPr="00323219" w:rsidRDefault="001048E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 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</w:t>
            </w:r>
            <w:r w:rsidRPr="005F1104">
              <w:rPr>
                <w:sz w:val="20"/>
                <w:szCs w:val="20"/>
              </w:rPr>
              <w:lastRenderedPageBreak/>
              <w:t>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EF1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048E9">
              <w:rPr>
                <w:sz w:val="20"/>
                <w:szCs w:val="20"/>
              </w:rPr>
              <w:t>2</w:t>
            </w:r>
            <w:r w:rsidR="00EF1EBF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EF1EBF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1EBF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lastRenderedPageBreak/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EF1EBF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EF1EBF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</w:t>
            </w:r>
            <w:r w:rsidRPr="006408E2">
              <w:rPr>
                <w:sz w:val="20"/>
                <w:szCs w:val="20"/>
              </w:rPr>
              <w:lastRenderedPageBreak/>
              <w:t>стами и их квалификация;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</w:t>
            </w:r>
            <w:r w:rsidRPr="006408E2">
              <w:rPr>
                <w:sz w:val="20"/>
                <w:szCs w:val="20"/>
              </w:rPr>
              <w:lastRenderedPageBreak/>
              <w:t>контроля за деятельностью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B82AD5" w:rsidRPr="00A500E9" w:rsidRDefault="00B82AD5" w:rsidP="005D6BFC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EF1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048E9">
              <w:rPr>
                <w:sz w:val="20"/>
                <w:szCs w:val="20"/>
              </w:rPr>
              <w:t>2</w:t>
            </w:r>
            <w:r w:rsidR="00EF1EBF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EF1EBF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1EBF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EF1EBF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1EBF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5D6BF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</w:t>
            </w:r>
            <w:r>
              <w:rPr>
                <w:sz w:val="20"/>
                <w:szCs w:val="20"/>
              </w:rPr>
              <w:lastRenderedPageBreak/>
              <w:t>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EF1EBF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</w:tcPr>
          <w:p w:rsidR="00B82AD5" w:rsidRPr="00CB0B16" w:rsidRDefault="00EF1EBF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</w:tcPr>
          <w:p w:rsidR="00B82AD5" w:rsidRPr="00CB0B16" w:rsidRDefault="00EF1EBF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r>
              <w:rPr>
                <w:sz w:val="20"/>
                <w:szCs w:val="20"/>
              </w:rPr>
              <w:lastRenderedPageBreak/>
              <w:t>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E91387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E91387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E913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9138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(работ), оказываемых (выполняемых) в качестве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помещениях образовательного </w:t>
            </w:r>
            <w:r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устава и других учредительных документов </w:t>
            </w:r>
            <w:r>
              <w:rPr>
                <w:sz w:val="20"/>
                <w:szCs w:val="20"/>
              </w:rPr>
              <w:lastRenderedPageBreak/>
              <w:t>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 xml:space="preserve">5. Предельные цены (тарифы) на оплату услуг физическими или юридическими лицами в случаях, если законодательством Российской </w:t>
      </w:r>
      <w:r w:rsidRPr="00C9038A">
        <w:lastRenderedPageBreak/>
        <w:t>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Default="00D1209F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1EBF">
              <w:rPr>
                <w:sz w:val="20"/>
                <w:szCs w:val="20"/>
              </w:rPr>
              <w:t>9</w:t>
            </w:r>
            <w:r w:rsidR="00E104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F1EBF">
              <w:rPr>
                <w:sz w:val="20"/>
                <w:szCs w:val="20"/>
              </w:rPr>
              <w:t>1</w:t>
            </w:r>
            <w:r w:rsidR="00E10450">
              <w:rPr>
                <w:sz w:val="20"/>
                <w:szCs w:val="20"/>
              </w:rPr>
              <w:t>.</w:t>
            </w:r>
          </w:p>
          <w:p w:rsidR="00E10450" w:rsidRPr="00C9038A" w:rsidRDefault="00E10450" w:rsidP="00D12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1EBF">
              <w:rPr>
                <w:sz w:val="20"/>
                <w:szCs w:val="20"/>
              </w:rPr>
              <w:t>2</w:t>
            </w:r>
            <w:r w:rsidR="00D1209F">
              <w:rPr>
                <w:sz w:val="20"/>
                <w:szCs w:val="20"/>
              </w:rPr>
              <w:t>3</w:t>
            </w:r>
            <w:bookmarkStart w:id="19" w:name="_GoBack"/>
            <w:bookmarkEnd w:id="19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установлении размера родительской платы, взимаемой за присмотр и уход за детьми, посещающими муниципальные образовательные </w:t>
            </w:r>
            <w:r>
              <w:rPr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F1EBF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  <w:r w:rsidR="00E10450">
              <w:rPr>
                <w:sz w:val="20"/>
                <w:szCs w:val="20"/>
              </w:rPr>
              <w:t>,00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lastRenderedPageBreak/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1048E9" w:rsidRDefault="001048E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1048E9" w:rsidRPr="00323219" w:rsidRDefault="001048E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 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Pr="009D5067" w:rsidRDefault="000C2A09" w:rsidP="000C2A0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25A89"/>
    <w:rsid w:val="00053867"/>
    <w:rsid w:val="00054019"/>
    <w:rsid w:val="0008104D"/>
    <w:rsid w:val="000A2930"/>
    <w:rsid w:val="000C0777"/>
    <w:rsid w:val="000C2A09"/>
    <w:rsid w:val="000E7813"/>
    <w:rsid w:val="001048E9"/>
    <w:rsid w:val="001143EA"/>
    <w:rsid w:val="001D58DB"/>
    <w:rsid w:val="002327CC"/>
    <w:rsid w:val="0024617B"/>
    <w:rsid w:val="002C2EE9"/>
    <w:rsid w:val="00326B4D"/>
    <w:rsid w:val="00374532"/>
    <w:rsid w:val="00383C21"/>
    <w:rsid w:val="00387664"/>
    <w:rsid w:val="00392209"/>
    <w:rsid w:val="003D66D6"/>
    <w:rsid w:val="003E3EAA"/>
    <w:rsid w:val="00513624"/>
    <w:rsid w:val="00552434"/>
    <w:rsid w:val="005A09D8"/>
    <w:rsid w:val="005C6990"/>
    <w:rsid w:val="005F3E38"/>
    <w:rsid w:val="0062698A"/>
    <w:rsid w:val="0068152A"/>
    <w:rsid w:val="00695B2A"/>
    <w:rsid w:val="006F0527"/>
    <w:rsid w:val="007074E0"/>
    <w:rsid w:val="00715841"/>
    <w:rsid w:val="008230E3"/>
    <w:rsid w:val="00830684"/>
    <w:rsid w:val="0088537B"/>
    <w:rsid w:val="008A3725"/>
    <w:rsid w:val="008D7606"/>
    <w:rsid w:val="008E3FC8"/>
    <w:rsid w:val="0096695B"/>
    <w:rsid w:val="00986920"/>
    <w:rsid w:val="009A0749"/>
    <w:rsid w:val="009B1110"/>
    <w:rsid w:val="00A04C97"/>
    <w:rsid w:val="00A159E1"/>
    <w:rsid w:val="00A310AB"/>
    <w:rsid w:val="00A52531"/>
    <w:rsid w:val="00AB35F6"/>
    <w:rsid w:val="00AC738C"/>
    <w:rsid w:val="00B2275A"/>
    <w:rsid w:val="00B31D19"/>
    <w:rsid w:val="00B53C8B"/>
    <w:rsid w:val="00B6328C"/>
    <w:rsid w:val="00B82AD5"/>
    <w:rsid w:val="00C27009"/>
    <w:rsid w:val="00C35193"/>
    <w:rsid w:val="00C8275B"/>
    <w:rsid w:val="00CA379C"/>
    <w:rsid w:val="00CB0B16"/>
    <w:rsid w:val="00CD3B4F"/>
    <w:rsid w:val="00CD5CEA"/>
    <w:rsid w:val="00D1209F"/>
    <w:rsid w:val="00D209EA"/>
    <w:rsid w:val="00D53B00"/>
    <w:rsid w:val="00D77F06"/>
    <w:rsid w:val="00D813D4"/>
    <w:rsid w:val="00DF6B62"/>
    <w:rsid w:val="00E10450"/>
    <w:rsid w:val="00E17B2F"/>
    <w:rsid w:val="00E24538"/>
    <w:rsid w:val="00E25929"/>
    <w:rsid w:val="00E73ADB"/>
    <w:rsid w:val="00E91387"/>
    <w:rsid w:val="00EC22A2"/>
    <w:rsid w:val="00EF1EBF"/>
    <w:rsid w:val="00E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4533-3E15-45CB-9D95-1C52EB0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9E84-B24C-49EF-8C83-668B41A6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24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42</cp:revision>
  <cp:lastPrinted>2016-12-06T04:46:00Z</cp:lastPrinted>
  <dcterms:created xsi:type="dcterms:W3CDTF">2016-11-18T10:04:00Z</dcterms:created>
  <dcterms:modified xsi:type="dcterms:W3CDTF">2023-01-17T03:07:00Z</dcterms:modified>
</cp:coreProperties>
</file>